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5388"/>
      </w:tblGrid>
      <w:tr w:rsidR="00F36486" w:rsidRPr="00305D58" w14:paraId="0F9311BB" w14:textId="77777777" w:rsidTr="00F36486">
        <w:trPr>
          <w:trHeight w:val="427"/>
        </w:trPr>
        <w:tc>
          <w:tcPr>
            <w:tcW w:w="15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700E5E" w14:textId="136ED4AC" w:rsidR="00F36486" w:rsidRDefault="00F36486" w:rsidP="004875D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</w:t>
            </w:r>
          </w:p>
        </w:tc>
        <w:tc>
          <w:tcPr>
            <w:tcW w:w="935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4B373D" w14:textId="02BDCD1F" w:rsidR="00F36486" w:rsidRPr="00F36486" w:rsidRDefault="00F36486" w:rsidP="00F36486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F36486">
              <w:rPr>
                <w:rFonts w:ascii="Cambria" w:hAnsi="Cambria"/>
                <w:bCs/>
                <w:color w:val="002060"/>
              </w:rPr>
              <w:t>Sağlık Hizmetleri Meslek Yüksekokulu</w:t>
            </w:r>
          </w:p>
        </w:tc>
      </w:tr>
      <w:tr w:rsidR="00F36486" w:rsidRPr="00305D58" w14:paraId="673142F5" w14:textId="77777777" w:rsidTr="00F36486">
        <w:trPr>
          <w:trHeight w:val="58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vAlign w:val="center"/>
          </w:tcPr>
          <w:p w14:paraId="75E4D7A1" w14:textId="77777777" w:rsidR="00F36486" w:rsidRPr="00F36486" w:rsidRDefault="00F36486" w:rsidP="00CB4D5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0"/>
                <w:szCs w:val="10"/>
              </w:rPr>
            </w:pPr>
          </w:p>
        </w:tc>
      </w:tr>
      <w:tr w:rsidR="00F36486" w:rsidRPr="00305D58" w14:paraId="728F4185" w14:textId="77777777" w:rsidTr="00F36486">
        <w:trPr>
          <w:trHeight w:val="427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D29A22A" w14:textId="1F30CA2B" w:rsidR="00F36486" w:rsidRPr="00CB4D5B" w:rsidRDefault="00F36486" w:rsidP="00CB4D5B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2060"/>
              </w:rPr>
              <w:t>GÜÇLÜ YÖNLER</w:t>
            </w:r>
          </w:p>
        </w:tc>
      </w:tr>
      <w:tr w:rsidR="00F36486" w:rsidRPr="00305D58" w14:paraId="49AA8AC4" w14:textId="77777777" w:rsidTr="00F36486">
        <w:trPr>
          <w:trHeight w:val="419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BA74C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before="120"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Üniversitenin Ülkemiz başkenti Ankara’da merkezi bir bölgede yer alması.</w:t>
            </w:r>
          </w:p>
          <w:p w14:paraId="4B934238" w14:textId="5CD3A1AB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Sağlık Hizmetleri Meslek Yüksekokulumuz bünyesinde sağlık hizmet sektörüne katkı sağlayacak çeşitlilikte insan gücü yetiştiren programların bulunması</w:t>
            </w:r>
            <w:r>
              <w:rPr>
                <w:rFonts w:ascii="Cambria" w:hAnsi="Cambria"/>
                <w:bCs/>
              </w:rPr>
              <w:t>.</w:t>
            </w:r>
          </w:p>
          <w:p w14:paraId="7FBFC260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Lokman Hekim Üniversitesinin, sağlık bilimleri alanında öncü, deneyime sahip ve hastaneleri olan sağlık temalı bir üniversite olması.</w:t>
            </w:r>
          </w:p>
          <w:p w14:paraId="47264F94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Sağlık Hizmetleri Meslek Yüksekokulumuzun, yeniliklere açık, ekip anlayışına sahip, değişen ve gelişen durumlara uyum sağlayabilen, deneyimli ve genç akademik kadroya sahip olması.</w:t>
            </w:r>
          </w:p>
          <w:p w14:paraId="22BF8119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Her programımızın sektör deneyimine sahip öğretim elemanlarının olması ve tüm programlarımızın meslek mensubu akademisyenler tarafından yürütülmesi</w:t>
            </w:r>
            <w:r>
              <w:rPr>
                <w:rFonts w:ascii="Cambria" w:hAnsi="Cambria"/>
                <w:bCs/>
              </w:rPr>
              <w:t>.</w:t>
            </w:r>
          </w:p>
          <w:p w14:paraId="05BDC8F9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Eğitim programımızın benzer ulusal kurumlarca eşdeğer kabul edilmesi ve Bologna Süreci ile desteklenmesi.</w:t>
            </w:r>
          </w:p>
          <w:p w14:paraId="06159128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Üniversitemiz bünyesinde uzaktan eğitim imkanının olması.</w:t>
            </w:r>
          </w:p>
          <w:p w14:paraId="4CFB5210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Her programın Yükseköğretim Kurumu tarafından belirlenen dört yıllık fakültelere dikey geçiş hakkının olması.</w:t>
            </w:r>
          </w:p>
          <w:p w14:paraId="240C5222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Üniversitemizde hizmet içi eğitimlere önem verilmesi ve uygulanması.</w:t>
            </w:r>
          </w:p>
          <w:p w14:paraId="7F22F3EA" w14:textId="7AF45F7A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Stratejik ve uzun vadeli hedeflerin açık olarak belirlenmiş olması</w:t>
            </w:r>
            <w:r>
              <w:rPr>
                <w:rFonts w:ascii="Cambria" w:hAnsi="Cambria"/>
                <w:bCs/>
              </w:rPr>
              <w:t>.</w:t>
            </w:r>
          </w:p>
          <w:p w14:paraId="0D53F79B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Mezunlarına iş olanağı sunabilmesi.</w:t>
            </w:r>
          </w:p>
          <w:p w14:paraId="4C372D1D" w14:textId="7BCA9ABB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Etik değerlere sahip eğitim anlayışına sahip olması</w:t>
            </w:r>
            <w:r>
              <w:rPr>
                <w:rFonts w:ascii="Cambria" w:hAnsi="Cambria"/>
                <w:bCs/>
              </w:rPr>
              <w:t>.</w:t>
            </w:r>
          </w:p>
          <w:p w14:paraId="6A9D793D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Öğretim elemanı ve öğrenci iletişiminin kolay, etkin olması ve sürekli aktif bir danışmanlık sisteminin işletilmesi.</w:t>
            </w:r>
          </w:p>
          <w:p w14:paraId="3606F193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Yatay geçişlerde öğrenciler tarafından tercih edilir olması.</w:t>
            </w:r>
          </w:p>
          <w:p w14:paraId="3BEBC818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Öğrenci odaklı eğitim ve öğretim anlayışına sahip olması</w:t>
            </w:r>
            <w:r>
              <w:rPr>
                <w:rFonts w:ascii="Cambria" w:hAnsi="Cambria"/>
                <w:bCs/>
              </w:rPr>
              <w:t>.</w:t>
            </w:r>
          </w:p>
          <w:p w14:paraId="10A0A039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Laboratuvarlar için ihtiyaç duyulan cihaz ve malzemelerin hızlı bir şekilde temin edilebilmesi ve laboratuvar imkanlarının fazla olması</w:t>
            </w:r>
            <w:r>
              <w:rPr>
                <w:rFonts w:ascii="Cambria" w:hAnsi="Cambria"/>
                <w:bCs/>
              </w:rPr>
              <w:t>.</w:t>
            </w:r>
          </w:p>
          <w:p w14:paraId="4C3FC2C9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Meslek Yüksekokulu altyapı ve fiziksel imkanlarının uygun ve yeterli olması.</w:t>
            </w:r>
          </w:p>
          <w:p w14:paraId="7A7BE754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Meslek Yüksekokulu Yönetimi ile Üniversite Yönetimi, idari birimler ve diğer Fakülte Yönetimleri arasında uyumlu, etkili ve güçlü ilişkilerin olması</w:t>
            </w:r>
            <w:r>
              <w:rPr>
                <w:rFonts w:ascii="Cambria" w:hAnsi="Cambria"/>
                <w:bCs/>
              </w:rPr>
              <w:t>.</w:t>
            </w:r>
          </w:p>
          <w:p w14:paraId="31F88AB4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İl Sağlık Müdürlüğü yanı sıra kendisine ait hastanelerde staj imkanı sağlanması</w:t>
            </w:r>
            <w:r>
              <w:rPr>
                <w:rFonts w:ascii="Cambria" w:hAnsi="Cambria"/>
                <w:bCs/>
              </w:rPr>
              <w:t>.</w:t>
            </w:r>
          </w:p>
          <w:p w14:paraId="056BB046" w14:textId="77777777" w:rsidR="00F36486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Programların ağırlıklı olarak uygulamalı eğitim şeklinde tasarlanması ve uygulanması.</w:t>
            </w:r>
          </w:p>
          <w:p w14:paraId="7CBD696D" w14:textId="66F2A332" w:rsidR="00F36486" w:rsidRPr="00CB4D5B" w:rsidRDefault="00F36486" w:rsidP="00F36486">
            <w:pPr>
              <w:pStyle w:val="AralkYok"/>
              <w:numPr>
                <w:ilvl w:val="0"/>
                <w:numId w:val="7"/>
              </w:numPr>
              <w:spacing w:after="120"/>
              <w:ind w:left="312" w:hanging="312"/>
              <w:jc w:val="both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Cs/>
              </w:rPr>
              <w:t>Her programa çift anadal yapabilme imkanının sunulması.</w:t>
            </w:r>
          </w:p>
        </w:tc>
      </w:tr>
      <w:tr w:rsidR="00F36486" w:rsidRPr="00305D58" w14:paraId="595E9679" w14:textId="77777777" w:rsidTr="00F36486">
        <w:trPr>
          <w:trHeight w:val="419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E20F7ED" w14:textId="4C465399" w:rsidR="00F36486" w:rsidRPr="00CB4D5B" w:rsidRDefault="00F36486" w:rsidP="00F36486">
            <w:pPr>
              <w:pStyle w:val="AralkYok"/>
              <w:ind w:left="314"/>
              <w:jc w:val="center"/>
              <w:rPr>
                <w:rFonts w:ascii="Cambria" w:hAnsi="Cambria"/>
                <w:bCs/>
              </w:rPr>
            </w:pPr>
            <w:r w:rsidRPr="00CB4D5B">
              <w:rPr>
                <w:rFonts w:ascii="Cambria" w:hAnsi="Cambria"/>
                <w:b/>
                <w:color w:val="002060"/>
              </w:rPr>
              <w:t>ZAYIF YÖNLER</w:t>
            </w:r>
          </w:p>
        </w:tc>
      </w:tr>
      <w:tr w:rsidR="00F36486" w:rsidRPr="00305D58" w14:paraId="3AD6714E" w14:textId="77777777" w:rsidTr="00F36486">
        <w:trPr>
          <w:trHeight w:val="419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69DA34" w14:textId="2C668309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before="120"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Eğitim programlarının ve ulusal Çekirdek Eğitim Programının (ÇEP) bulunmaması</w:t>
            </w:r>
            <w:r>
              <w:rPr>
                <w:rFonts w:ascii="Cambria" w:hAnsi="Cambria"/>
                <w:bCs/>
              </w:rPr>
              <w:t>.</w:t>
            </w:r>
          </w:p>
          <w:p w14:paraId="6BE49E9B" w14:textId="73BDB4C0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Meslek Yüksekokulu bünyesinde akademik ve idari personel sayısının yetersiz olması</w:t>
            </w:r>
            <w:r>
              <w:rPr>
                <w:rFonts w:ascii="Cambria" w:hAnsi="Cambria"/>
                <w:bCs/>
              </w:rPr>
              <w:t>.</w:t>
            </w:r>
          </w:p>
          <w:p w14:paraId="3CA59679" w14:textId="4FCC2AB3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Öğretim elemanlarının danışmalık yaptığı öğrenci sayılarının fazla olması</w:t>
            </w:r>
            <w:r>
              <w:rPr>
                <w:rFonts w:ascii="Cambria" w:hAnsi="Cambria"/>
                <w:bCs/>
              </w:rPr>
              <w:t>.</w:t>
            </w:r>
          </w:p>
          <w:p w14:paraId="378A64AB" w14:textId="668F0618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Sosyal, kültürel ve sportif faaliyetlerin yetersiz olması</w:t>
            </w:r>
            <w:r>
              <w:rPr>
                <w:rFonts w:ascii="Cambria" w:hAnsi="Cambria"/>
                <w:bCs/>
              </w:rPr>
              <w:t>.</w:t>
            </w:r>
          </w:p>
          <w:p w14:paraId="5344BD40" w14:textId="17E9A43B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Uygulamalı dersler dışındaki derslerde interaktif eğitim modelinin uygulanamaması (Sınıfların mevcudunun fazla olması, şubelerin yapılamaması)</w:t>
            </w:r>
            <w:r>
              <w:rPr>
                <w:rFonts w:ascii="Cambria" w:hAnsi="Cambria"/>
                <w:bCs/>
              </w:rPr>
              <w:t>.</w:t>
            </w:r>
          </w:p>
          <w:p w14:paraId="0F1D24E2" w14:textId="2BD8E545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lastRenderedPageBreak/>
              <w:t>Kampüs alanının (bahçe, kantin, kafe, oturma alanları vb.) yetersiz olması</w:t>
            </w:r>
            <w:r>
              <w:rPr>
                <w:rFonts w:ascii="Cambria" w:hAnsi="Cambria"/>
                <w:bCs/>
              </w:rPr>
              <w:t>.</w:t>
            </w:r>
          </w:p>
          <w:p w14:paraId="6C1CA367" w14:textId="3AE03FBD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Teknik personelin sayısal olarak yetersiz olması</w:t>
            </w:r>
            <w:r>
              <w:rPr>
                <w:rFonts w:ascii="Cambria" w:hAnsi="Cambria"/>
                <w:bCs/>
              </w:rPr>
              <w:t>.</w:t>
            </w:r>
          </w:p>
          <w:p w14:paraId="21B59431" w14:textId="47FA0DED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Öğretim elemanlarının ders ve idari yüklerinin fazla olmasından dolayı araştırma-geliştirmeye ayrılan zamanın az olması ve akademik gelişimi destekleyen planlamalara (yurt dışı kongre, eğitim, kurs vb.) öncelik verilememesi</w:t>
            </w:r>
            <w:r>
              <w:rPr>
                <w:rFonts w:ascii="Cambria" w:hAnsi="Cambria"/>
                <w:bCs/>
              </w:rPr>
              <w:t>.</w:t>
            </w:r>
          </w:p>
          <w:p w14:paraId="4E02D352" w14:textId="42E93265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Bilimsel organizasyon yapılabilecek salon ve benzeri mekânların sayı ve nitelik açısından yetersiz olması</w:t>
            </w:r>
            <w:r>
              <w:rPr>
                <w:rFonts w:ascii="Cambria" w:hAnsi="Cambria"/>
                <w:bCs/>
              </w:rPr>
              <w:t>.</w:t>
            </w:r>
          </w:p>
          <w:p w14:paraId="5D71E17B" w14:textId="5EF515E3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Mezun takip sisteminin yeterli düzeyde olmaması</w:t>
            </w:r>
            <w:r>
              <w:rPr>
                <w:rFonts w:ascii="Cambria" w:hAnsi="Cambria"/>
                <w:bCs/>
              </w:rPr>
              <w:t>.</w:t>
            </w:r>
          </w:p>
          <w:p w14:paraId="06984C5D" w14:textId="7B5588AB" w:rsidR="00F36486" w:rsidRPr="00F36486" w:rsidRDefault="00F36486" w:rsidP="00F36486">
            <w:pPr>
              <w:pStyle w:val="AralkYok"/>
              <w:numPr>
                <w:ilvl w:val="0"/>
                <w:numId w:val="8"/>
              </w:numPr>
              <w:spacing w:after="120"/>
              <w:ind w:left="314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Ücretlerin yetersiz olması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F36486" w:rsidRPr="00305D58" w14:paraId="2C6C362A" w14:textId="77777777" w:rsidTr="00F36486">
        <w:trPr>
          <w:trHeight w:val="419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40B1683" w14:textId="3B796B79" w:rsidR="00F36486" w:rsidRPr="00CB4D5B" w:rsidRDefault="00F36486" w:rsidP="00F36486">
            <w:pPr>
              <w:pStyle w:val="AralkYok"/>
              <w:ind w:left="314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FIRSATLAR</w:t>
            </w:r>
          </w:p>
        </w:tc>
      </w:tr>
      <w:tr w:rsidR="00F36486" w:rsidRPr="00305D58" w14:paraId="45E3ECAA" w14:textId="77777777" w:rsidTr="00F36486">
        <w:trPr>
          <w:trHeight w:val="419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1DB4CD" w14:textId="073F13BA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before="120"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Başkentte bir eğitim kurumu olması nedeniyle ülke genelinde görülebilecek çeşitli farklı vakaların geldiği hastanelerde uygulama yapma fırsatının olması</w:t>
            </w:r>
            <w:r>
              <w:rPr>
                <w:rFonts w:ascii="Cambria" w:hAnsi="Cambria"/>
                <w:bCs/>
              </w:rPr>
              <w:t>.</w:t>
            </w:r>
          </w:p>
          <w:p w14:paraId="6CAE2524" w14:textId="19E4818B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Meslek Yüksekokulunun merkezi bir konumda olması ve ulaşım sorununun olmaması</w:t>
            </w:r>
            <w:r>
              <w:rPr>
                <w:rFonts w:ascii="Cambria" w:hAnsi="Cambria"/>
                <w:bCs/>
              </w:rPr>
              <w:t>.</w:t>
            </w:r>
          </w:p>
          <w:p w14:paraId="6FD3BBE7" w14:textId="77777777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Türkiye genelinde iş imkanları doğrultusunda sağlık bilimleri alanlarından mezun öğrencilere olan meslek ihtiyacının olması nedeniyle bölümlere olan ilginin artması ve mezun olan öğrencilerin iş bulma olanaklarının yüksek olması.</w:t>
            </w:r>
          </w:p>
          <w:p w14:paraId="28DC876D" w14:textId="6E4A6319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Ulusal projelere ayrılan kaynakların artması (BAP vb.)</w:t>
            </w:r>
            <w:r>
              <w:rPr>
                <w:rFonts w:ascii="Cambria" w:hAnsi="Cambria"/>
                <w:bCs/>
              </w:rPr>
              <w:t>.</w:t>
            </w:r>
          </w:p>
          <w:p w14:paraId="2F4439D7" w14:textId="36C8995D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Yeni açılacak olan simülasyon laboratuvarının uygulamalı eğitimler için kullanılabilecek olması</w:t>
            </w:r>
            <w:r>
              <w:rPr>
                <w:rFonts w:ascii="Cambria" w:hAnsi="Cambria"/>
                <w:bCs/>
              </w:rPr>
              <w:t>.</w:t>
            </w:r>
          </w:p>
          <w:p w14:paraId="676BAD64" w14:textId="48B05230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Üniversite bünyesinde uygulama yapılabilecek hastanelerin olması</w:t>
            </w:r>
            <w:r>
              <w:rPr>
                <w:rFonts w:ascii="Cambria" w:hAnsi="Cambria"/>
                <w:bCs/>
              </w:rPr>
              <w:t>.</w:t>
            </w:r>
          </w:p>
          <w:p w14:paraId="28E7CFB0" w14:textId="2F4DC744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Öğrencilerin mesleki gelişimleri için sempozyumların düzenlenmesi ve meslek üyelerinin konuşmacı olarak davet edilmesi</w:t>
            </w:r>
            <w:r>
              <w:rPr>
                <w:rFonts w:ascii="Cambria" w:hAnsi="Cambria"/>
                <w:bCs/>
              </w:rPr>
              <w:t>.</w:t>
            </w:r>
          </w:p>
          <w:p w14:paraId="60175E2A" w14:textId="55E24EA6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Üniversitenin sunduğu kütüphane, sosyal ve kültürel imkanların kolaylıkla ulaşılabilir olması</w:t>
            </w:r>
            <w:r>
              <w:rPr>
                <w:rFonts w:ascii="Cambria" w:hAnsi="Cambria"/>
                <w:bCs/>
              </w:rPr>
              <w:t>.</w:t>
            </w:r>
          </w:p>
          <w:p w14:paraId="7B84592E" w14:textId="65F01310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Öğrencilerin lisans programlarına Dikey Geçiş Sınavı ile dikey geçiş olanaklarının olması</w:t>
            </w:r>
            <w:r>
              <w:rPr>
                <w:rFonts w:ascii="Cambria" w:hAnsi="Cambria"/>
                <w:bCs/>
              </w:rPr>
              <w:t>.</w:t>
            </w:r>
          </w:p>
          <w:p w14:paraId="1F5E3771" w14:textId="46184812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Kamu ve özel sektör iş birliği olanaklarının fazla olması</w:t>
            </w:r>
            <w:r>
              <w:rPr>
                <w:rFonts w:ascii="Cambria" w:hAnsi="Cambria"/>
                <w:bCs/>
              </w:rPr>
              <w:t>.</w:t>
            </w:r>
          </w:p>
          <w:p w14:paraId="7C81BC18" w14:textId="2C91ACA9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Engelli öğrenciler için eğitim imkanı olması ve engelsiz üniversite ödülünün bulunması</w:t>
            </w:r>
            <w:r>
              <w:rPr>
                <w:rFonts w:ascii="Cambria" w:hAnsi="Cambria"/>
                <w:bCs/>
              </w:rPr>
              <w:t>.</w:t>
            </w:r>
          </w:p>
          <w:p w14:paraId="1819E0F4" w14:textId="6E3044C2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Sağlık alanında ulusal ve uluslararası eğitim-öğretim, değişim, proje ve araştırma olanaklarının fazla olması</w:t>
            </w:r>
            <w:r>
              <w:rPr>
                <w:rFonts w:ascii="Cambria" w:hAnsi="Cambria"/>
                <w:bCs/>
              </w:rPr>
              <w:t>.</w:t>
            </w:r>
          </w:p>
          <w:p w14:paraId="33D7AA69" w14:textId="6B99AC3A" w:rsidR="00F36486" w:rsidRPr="00F36486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Uluslararası staj hareketliliği kapsamında yurt dışında staj yapma olanağı</w:t>
            </w:r>
            <w:r>
              <w:rPr>
                <w:rFonts w:ascii="Cambria" w:hAnsi="Cambria"/>
                <w:bCs/>
              </w:rPr>
              <w:t>.</w:t>
            </w:r>
          </w:p>
          <w:p w14:paraId="59CEAAC8" w14:textId="01712F4D" w:rsidR="00F36486" w:rsidRPr="00CB4D5B" w:rsidRDefault="00F36486" w:rsidP="00F36486">
            <w:pPr>
              <w:pStyle w:val="AralkYok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Programlar arası Çift Anadal olanaklarının olması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F36486" w:rsidRPr="00305D58" w14:paraId="719289F4" w14:textId="77777777" w:rsidTr="00F36486">
        <w:trPr>
          <w:trHeight w:val="410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FABAB"/>
            <w:vAlign w:val="center"/>
          </w:tcPr>
          <w:p w14:paraId="3A326276" w14:textId="6B82D21E" w:rsidR="00F36486" w:rsidRDefault="00F36486" w:rsidP="00CB4D5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TEHDİTLER</w:t>
            </w:r>
          </w:p>
        </w:tc>
      </w:tr>
      <w:tr w:rsidR="00F36486" w:rsidRPr="00305D58" w14:paraId="6981D40F" w14:textId="77777777" w:rsidTr="00F36486">
        <w:trPr>
          <w:trHeight w:val="417"/>
        </w:trPr>
        <w:tc>
          <w:tcPr>
            <w:tcW w:w="10917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E46BD" w14:textId="6ED24B3D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before="120"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Öğrenci sayısının artması ile akademik ve idari personel yetersizliğinin akademik ve idari süreçlere olumsuz yansıması ve fiziki altyapının kapasiteyi karşılayamaması</w:t>
            </w:r>
            <w:r>
              <w:rPr>
                <w:rFonts w:ascii="Cambria" w:hAnsi="Cambria"/>
                <w:bCs/>
              </w:rPr>
              <w:t>.</w:t>
            </w:r>
          </w:p>
          <w:p w14:paraId="0BBC9BA0" w14:textId="2AF162B6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 xml:space="preserve"> Yüksekokula başlayan öğrencilerin hazır bulunuşluk düzeylerinin farklı seviyede ve genellikle yetersiz olması</w:t>
            </w:r>
            <w:r>
              <w:rPr>
                <w:rFonts w:ascii="Cambria" w:hAnsi="Cambria"/>
                <w:bCs/>
              </w:rPr>
              <w:t>.</w:t>
            </w:r>
          </w:p>
          <w:p w14:paraId="5DAB103B" w14:textId="77777777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Üniversiteye girişte baraj puanının kaldırılması.</w:t>
            </w:r>
          </w:p>
          <w:p w14:paraId="069A8FBD" w14:textId="149D67DC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Meslekler kapsamında mevcut programlarda yetişmiş akademik personel bulmanın zor olması</w:t>
            </w:r>
            <w:r>
              <w:rPr>
                <w:rFonts w:ascii="Cambria" w:hAnsi="Cambria"/>
                <w:bCs/>
              </w:rPr>
              <w:t>.</w:t>
            </w:r>
          </w:p>
          <w:p w14:paraId="7288F324" w14:textId="75A630C5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Meslek Yüksekokullarına toplumun ve diğer fakültelerdeki öğretim elemanlarının olumsuz önyargılı bakış açısı</w:t>
            </w:r>
            <w:r>
              <w:rPr>
                <w:rFonts w:ascii="Cambria" w:hAnsi="Cambria"/>
                <w:bCs/>
              </w:rPr>
              <w:t>.</w:t>
            </w:r>
          </w:p>
          <w:p w14:paraId="0AE48FBD" w14:textId="03A9EB35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Programların ulusal ve/veya uluslararası akreditasyona sahip olmaması</w:t>
            </w:r>
            <w:r>
              <w:rPr>
                <w:rFonts w:ascii="Cambria" w:hAnsi="Cambria"/>
                <w:bCs/>
              </w:rPr>
              <w:t>.</w:t>
            </w:r>
          </w:p>
          <w:p w14:paraId="7D6AE93F" w14:textId="77777777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Alanında yetişmiş idari personellerin sık sık değişmesi.</w:t>
            </w:r>
          </w:p>
          <w:p w14:paraId="098320CF" w14:textId="77777777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t>Üniversite sayısının hızla artması nedeniyle iş bulma sıkıntısının bulunması.</w:t>
            </w:r>
          </w:p>
          <w:p w14:paraId="668AAF55" w14:textId="28B10AA0" w:rsidR="00F36486" w:rsidRPr="00F36486" w:rsidRDefault="00F36486" w:rsidP="00F36486">
            <w:pPr>
              <w:pStyle w:val="AralkYok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rFonts w:ascii="Cambria" w:hAnsi="Cambria"/>
                <w:bCs/>
              </w:rPr>
            </w:pPr>
            <w:r w:rsidRPr="00F36486">
              <w:rPr>
                <w:rFonts w:ascii="Cambria" w:hAnsi="Cambria"/>
                <w:bCs/>
              </w:rPr>
              <w:lastRenderedPageBreak/>
              <w:t>Fiziksel koşul ve akademik personeli uygunluğu dikkate alınmadan farklı üniversitelerde alanında uzman olmayan kişiler tarafından programlar açılarak, eğitim faaliyetlerinin yürütülmesi ve niteliksiz sağlık meslek mensubu mezun edilmesi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6561C9" w:rsidRPr="00305D58" w14:paraId="425CF9F7" w14:textId="4C3A3F43" w:rsidTr="00F36486">
        <w:trPr>
          <w:trHeight w:val="1024"/>
        </w:trPr>
        <w:tc>
          <w:tcPr>
            <w:tcW w:w="5529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HAZIRLAYAN</w:t>
            </w:r>
          </w:p>
          <w:p w14:paraId="139B01D0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9749F1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9EEE678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B9182C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BE0475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483D00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7C4F36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11F761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34871F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3D33448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6D87387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004B8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9ADADC4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67E16D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10B9DB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867E451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8E32AF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BEEA93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00C4780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923EBFB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B41EC19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A3E2FF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894B968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7DC038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F7C23E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7516F5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C87774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63DF04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BF12C33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01665D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8788BB7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26A632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C80CE01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3C9AB51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1AEE2D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097E15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5FC1CE7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F4130F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144396D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A01B4C5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C372590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0AD11A1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55B036" w14:textId="77777777" w:rsidR="000555AA" w:rsidRDefault="000555A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3EEB6C" w14:textId="77777777" w:rsidR="004875DA" w:rsidRDefault="004875D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8D43C8" w14:textId="02954D86" w:rsidR="00173828" w:rsidRPr="000555AA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A15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018E" w14:textId="77777777" w:rsidR="00485170" w:rsidRDefault="00485170" w:rsidP="00534F7F">
      <w:pPr>
        <w:spacing w:after="0" w:line="240" w:lineRule="auto"/>
      </w:pPr>
      <w:r>
        <w:separator/>
      </w:r>
    </w:p>
  </w:endnote>
  <w:endnote w:type="continuationSeparator" w:id="0">
    <w:p w14:paraId="2FF451EE" w14:textId="77777777" w:rsidR="00485170" w:rsidRDefault="004851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6889" w14:textId="77777777" w:rsidR="00330F3A" w:rsidRDefault="00330F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5194" w14:textId="77777777" w:rsidR="00330F3A" w:rsidRDefault="0033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D5F1" w14:textId="77777777" w:rsidR="00485170" w:rsidRDefault="00485170" w:rsidP="00534F7F">
      <w:pPr>
        <w:spacing w:after="0" w:line="240" w:lineRule="auto"/>
      </w:pPr>
      <w:r>
        <w:separator/>
      </w:r>
    </w:p>
  </w:footnote>
  <w:footnote w:type="continuationSeparator" w:id="0">
    <w:p w14:paraId="7872EB6A" w14:textId="77777777" w:rsidR="00485170" w:rsidRDefault="004851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C1F07" w14:textId="77777777" w:rsidR="00330F3A" w:rsidRDefault="00330F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BDAF4C" w14:textId="11B8C79F" w:rsidR="00EE2AC3" w:rsidRDefault="00D73E1E" w:rsidP="00CB4D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CB4D5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SWOT (GZFT) ANALİZİ</w:t>
          </w:r>
        </w:p>
        <w:p w14:paraId="410A3DBC" w14:textId="5EE27672" w:rsidR="00EE30E3" w:rsidRDefault="00EE30E3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30AE6508" w:rsidR="00EE2AC3" w:rsidRPr="00173828" w:rsidRDefault="00330F3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330F3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LHÜ-SHMYO-FRM-0048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1555B1A1" w:rsidR="00EE2AC3" w:rsidRPr="00173828" w:rsidRDefault="000555A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3F6A9AA7" w:rsidR="00EE2AC3" w:rsidRPr="00173828" w:rsidRDefault="000555A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5D91DA25" w:rsidR="00EE2AC3" w:rsidRPr="00173828" w:rsidRDefault="000555A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A533" w14:textId="77777777" w:rsidR="00330F3A" w:rsidRDefault="00330F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792"/>
    <w:multiLevelType w:val="hybridMultilevel"/>
    <w:tmpl w:val="1488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B89"/>
    <w:multiLevelType w:val="hybridMultilevel"/>
    <w:tmpl w:val="2EBE9338"/>
    <w:lvl w:ilvl="0" w:tplc="5ACA5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40EE9"/>
    <w:multiLevelType w:val="hybridMultilevel"/>
    <w:tmpl w:val="FD96FEE0"/>
    <w:lvl w:ilvl="0" w:tplc="72C45CE4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4" w:hanging="360"/>
      </w:pPr>
    </w:lvl>
    <w:lvl w:ilvl="2" w:tplc="041F001B" w:tentative="1">
      <w:start w:val="1"/>
      <w:numFmt w:val="lowerRoman"/>
      <w:lvlText w:val="%3."/>
      <w:lvlJc w:val="right"/>
      <w:pPr>
        <w:ind w:left="2114" w:hanging="180"/>
      </w:pPr>
    </w:lvl>
    <w:lvl w:ilvl="3" w:tplc="041F000F" w:tentative="1">
      <w:start w:val="1"/>
      <w:numFmt w:val="decimal"/>
      <w:lvlText w:val="%4."/>
      <w:lvlJc w:val="left"/>
      <w:pPr>
        <w:ind w:left="2834" w:hanging="360"/>
      </w:pPr>
    </w:lvl>
    <w:lvl w:ilvl="4" w:tplc="041F0019" w:tentative="1">
      <w:start w:val="1"/>
      <w:numFmt w:val="lowerLetter"/>
      <w:lvlText w:val="%5."/>
      <w:lvlJc w:val="left"/>
      <w:pPr>
        <w:ind w:left="3554" w:hanging="360"/>
      </w:pPr>
    </w:lvl>
    <w:lvl w:ilvl="5" w:tplc="041F001B" w:tentative="1">
      <w:start w:val="1"/>
      <w:numFmt w:val="lowerRoman"/>
      <w:lvlText w:val="%6."/>
      <w:lvlJc w:val="right"/>
      <w:pPr>
        <w:ind w:left="4274" w:hanging="180"/>
      </w:pPr>
    </w:lvl>
    <w:lvl w:ilvl="6" w:tplc="041F000F" w:tentative="1">
      <w:start w:val="1"/>
      <w:numFmt w:val="decimal"/>
      <w:lvlText w:val="%7."/>
      <w:lvlJc w:val="left"/>
      <w:pPr>
        <w:ind w:left="4994" w:hanging="360"/>
      </w:pPr>
    </w:lvl>
    <w:lvl w:ilvl="7" w:tplc="041F0019" w:tentative="1">
      <w:start w:val="1"/>
      <w:numFmt w:val="lowerLetter"/>
      <w:lvlText w:val="%8."/>
      <w:lvlJc w:val="left"/>
      <w:pPr>
        <w:ind w:left="5714" w:hanging="360"/>
      </w:pPr>
    </w:lvl>
    <w:lvl w:ilvl="8" w:tplc="041F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C78EC"/>
    <w:multiLevelType w:val="hybridMultilevel"/>
    <w:tmpl w:val="30A81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D5B4A"/>
    <w:multiLevelType w:val="hybridMultilevel"/>
    <w:tmpl w:val="AB3E03FE"/>
    <w:lvl w:ilvl="0" w:tplc="6EECB8B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4" w:hanging="360"/>
      </w:pPr>
    </w:lvl>
    <w:lvl w:ilvl="2" w:tplc="041F001B" w:tentative="1">
      <w:start w:val="1"/>
      <w:numFmt w:val="lowerRoman"/>
      <w:lvlText w:val="%3."/>
      <w:lvlJc w:val="right"/>
      <w:pPr>
        <w:ind w:left="2114" w:hanging="180"/>
      </w:pPr>
    </w:lvl>
    <w:lvl w:ilvl="3" w:tplc="041F000F" w:tentative="1">
      <w:start w:val="1"/>
      <w:numFmt w:val="decimal"/>
      <w:lvlText w:val="%4."/>
      <w:lvlJc w:val="left"/>
      <w:pPr>
        <w:ind w:left="2834" w:hanging="360"/>
      </w:pPr>
    </w:lvl>
    <w:lvl w:ilvl="4" w:tplc="041F0019" w:tentative="1">
      <w:start w:val="1"/>
      <w:numFmt w:val="lowerLetter"/>
      <w:lvlText w:val="%5."/>
      <w:lvlJc w:val="left"/>
      <w:pPr>
        <w:ind w:left="3554" w:hanging="360"/>
      </w:pPr>
    </w:lvl>
    <w:lvl w:ilvl="5" w:tplc="041F001B" w:tentative="1">
      <w:start w:val="1"/>
      <w:numFmt w:val="lowerRoman"/>
      <w:lvlText w:val="%6."/>
      <w:lvlJc w:val="right"/>
      <w:pPr>
        <w:ind w:left="4274" w:hanging="180"/>
      </w:pPr>
    </w:lvl>
    <w:lvl w:ilvl="6" w:tplc="041F000F" w:tentative="1">
      <w:start w:val="1"/>
      <w:numFmt w:val="decimal"/>
      <w:lvlText w:val="%7."/>
      <w:lvlJc w:val="left"/>
      <w:pPr>
        <w:ind w:left="4994" w:hanging="360"/>
      </w:pPr>
    </w:lvl>
    <w:lvl w:ilvl="7" w:tplc="041F0019" w:tentative="1">
      <w:start w:val="1"/>
      <w:numFmt w:val="lowerLetter"/>
      <w:lvlText w:val="%8."/>
      <w:lvlJc w:val="left"/>
      <w:pPr>
        <w:ind w:left="5714" w:hanging="360"/>
      </w:pPr>
    </w:lvl>
    <w:lvl w:ilvl="8" w:tplc="041F001B" w:tentative="1">
      <w:start w:val="1"/>
      <w:numFmt w:val="lowerRoman"/>
      <w:lvlText w:val="%9."/>
      <w:lvlJc w:val="right"/>
      <w:pPr>
        <w:ind w:left="6434" w:hanging="180"/>
      </w:pPr>
    </w:lvl>
  </w:abstractNum>
  <w:num w:numId="1" w16cid:durableId="566887665">
    <w:abstractNumId w:val="5"/>
  </w:num>
  <w:num w:numId="2" w16cid:durableId="1983920908">
    <w:abstractNumId w:val="4"/>
  </w:num>
  <w:num w:numId="3" w16cid:durableId="384257934">
    <w:abstractNumId w:val="0"/>
  </w:num>
  <w:num w:numId="4" w16cid:durableId="615521260">
    <w:abstractNumId w:val="7"/>
  </w:num>
  <w:num w:numId="5" w16cid:durableId="1374310269">
    <w:abstractNumId w:val="3"/>
  </w:num>
  <w:num w:numId="6" w16cid:durableId="917594389">
    <w:abstractNumId w:val="1"/>
  </w:num>
  <w:num w:numId="7" w16cid:durableId="1381172270">
    <w:abstractNumId w:val="8"/>
  </w:num>
  <w:num w:numId="8" w16cid:durableId="1903637258">
    <w:abstractNumId w:val="9"/>
  </w:num>
  <w:num w:numId="9" w16cid:durableId="674262378">
    <w:abstractNumId w:val="6"/>
  </w:num>
  <w:num w:numId="10" w16cid:durableId="105362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55AA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1EEC"/>
    <w:rsid w:val="00236E1E"/>
    <w:rsid w:val="00240ED2"/>
    <w:rsid w:val="0024300B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E46DD"/>
    <w:rsid w:val="002F327B"/>
    <w:rsid w:val="00305D58"/>
    <w:rsid w:val="00310D4E"/>
    <w:rsid w:val="003230A8"/>
    <w:rsid w:val="003247C0"/>
    <w:rsid w:val="00330F3A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85170"/>
    <w:rsid w:val="004875DA"/>
    <w:rsid w:val="00490B9B"/>
    <w:rsid w:val="004B1C2E"/>
    <w:rsid w:val="004B74B9"/>
    <w:rsid w:val="004C0951"/>
    <w:rsid w:val="004C7A7E"/>
    <w:rsid w:val="004E2BF2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1B1E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29F2"/>
    <w:rsid w:val="006A64F3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73BF6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86F61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D443E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6573F"/>
    <w:rsid w:val="00C730C3"/>
    <w:rsid w:val="00C757F0"/>
    <w:rsid w:val="00C83E4D"/>
    <w:rsid w:val="00C854E7"/>
    <w:rsid w:val="00CA7737"/>
    <w:rsid w:val="00CB4D5B"/>
    <w:rsid w:val="00CE2821"/>
    <w:rsid w:val="00CF0E2C"/>
    <w:rsid w:val="00D23714"/>
    <w:rsid w:val="00D43DB8"/>
    <w:rsid w:val="00D55B26"/>
    <w:rsid w:val="00D73E1E"/>
    <w:rsid w:val="00D7655D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6229F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486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290</cp:revision>
  <cp:lastPrinted>2021-04-20T11:05:00Z</cp:lastPrinted>
  <dcterms:created xsi:type="dcterms:W3CDTF">2019-02-15T12:25:00Z</dcterms:created>
  <dcterms:modified xsi:type="dcterms:W3CDTF">2024-05-16T11:29:00Z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